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145"/>
        <w:tblW w:w="14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2430"/>
        <w:gridCol w:w="5250"/>
        <w:gridCol w:w="2130"/>
        <w:gridCol w:w="3779"/>
      </w:tblGrid>
      <w:tr w:rsidR="00882487" w:rsidTr="00882487">
        <w:tc>
          <w:tcPr>
            <w:tcW w:w="805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Week</w:t>
            </w:r>
          </w:p>
        </w:tc>
        <w:tc>
          <w:tcPr>
            <w:tcW w:w="243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Dates</w:t>
            </w:r>
          </w:p>
        </w:tc>
        <w:tc>
          <w:tcPr>
            <w:tcW w:w="525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</w:p>
        </w:tc>
        <w:tc>
          <w:tcPr>
            <w:tcW w:w="213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Formal Observation</w:t>
            </w:r>
          </w:p>
        </w:tc>
        <w:tc>
          <w:tcPr>
            <w:tcW w:w="3779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Tasks</w:t>
            </w:r>
          </w:p>
        </w:tc>
      </w:tr>
      <w:tr w:rsidR="00882487" w:rsidTr="00882487"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Jan 13 – 17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Placement #1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Orientation to the classroom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Assist teacher as appropriate (daily routines, teaching part of a lesson, working with students)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Observe MT teaching, assisting in all class periods, and team-teach or introduce one lesson each day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82487" w:rsidTr="00882487">
        <w:trPr>
          <w:trHeight w:val="240"/>
        </w:trPr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Jan 20 - 24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Responsibility for teaching at least one block. Continue to assist with daily routines.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#1 by the end of week 2</w:t>
            </w:r>
          </w:p>
        </w:tc>
        <w:tc>
          <w:tcPr>
            <w:tcW w:w="3779" w:type="dxa"/>
            <w:vMerge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82487" w:rsidTr="00882487">
        <w:trPr>
          <w:trHeight w:val="200"/>
        </w:trPr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Jan 27 – 31 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vMerge w:val="restart"/>
          </w:tcPr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 responsible for all aspects of the planning/teaching/assessment process for at least 75% of responsible teaching time for at least 3 consecutive weeks.</w:t>
            </w:r>
          </w:p>
        </w:tc>
        <w:tc>
          <w:tcPr>
            <w:tcW w:w="2130" w:type="dxa"/>
            <w:vMerge w:val="restart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779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Mid-placement Evaluation completed by Intern and Mentor Teacher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Jan. 31</w:t>
            </w:r>
          </w:p>
        </w:tc>
      </w:tr>
      <w:tr w:rsidR="00882487" w:rsidTr="00882487">
        <w:trPr>
          <w:trHeight w:val="240"/>
        </w:trPr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Feb 3 – 7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525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</w:tcPr>
          <w:p w:rsidR="00882487" w:rsidRP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Mid-placement Conference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Feb. 7</w:t>
            </w:r>
          </w:p>
        </w:tc>
      </w:tr>
      <w:tr w:rsidR="00882487" w:rsidTr="00882487">
        <w:trPr>
          <w:trHeight w:val="240"/>
        </w:trPr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Feb 10 – 14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Video and Video Self-Assessment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Feb. 21</w:t>
            </w:r>
          </w:p>
        </w:tc>
      </w:tr>
      <w:tr w:rsidR="00882487" w:rsidTr="00882487">
        <w:trPr>
          <w:trHeight w:val="240"/>
        </w:trPr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Feb 17 – 21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525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30" w:type="dxa"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#2 by the end of week 6</w:t>
            </w:r>
          </w:p>
        </w:tc>
        <w:tc>
          <w:tcPr>
            <w:tcW w:w="3779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82487" w:rsidTr="00882487"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Feb 24 – 28 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5250" w:type="dxa"/>
          </w:tcPr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Begin returning responsibilities to the mentor teacher while continuing to assist and work with students.</w:t>
            </w:r>
          </w:p>
        </w:tc>
        <w:tc>
          <w:tcPr>
            <w:tcW w:w="213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Transition</w:t>
            </w:r>
          </w:p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Final Evaluation completed by Intern and Mentor Teacher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Feb.24</w:t>
            </w:r>
          </w:p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82487" w:rsidRPr="003754A7" w:rsidRDefault="00882487" w:rsidP="0028612B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Final Conference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Feb. 28</w:t>
            </w:r>
          </w:p>
        </w:tc>
      </w:tr>
      <w:tr w:rsidR="00882487" w:rsidTr="00882487">
        <w:trPr>
          <w:trHeight w:val="160"/>
        </w:trPr>
        <w:tc>
          <w:tcPr>
            <w:tcW w:w="805" w:type="dxa"/>
            <w:shd w:val="clear" w:color="auto" w:fill="AEAAA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EAAA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EAAA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EAAA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EAAA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82487" w:rsidTr="00882487"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Mar 2 – 7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Placement #2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Orientation to the classroom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Assist teacher as appropriate (daily routines, teaching part of a lesson, working with students)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Observe MT teaching, assisting in all class periods, and team-teach or introduce one lesson each day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82487" w:rsidTr="00882487">
        <w:trPr>
          <w:trHeight w:val="240"/>
        </w:trPr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Mar 9 – 13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Responsibility for teaching at least one block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Continue to assist with daily routines.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#3 by the end of week 2</w:t>
            </w:r>
          </w:p>
        </w:tc>
        <w:tc>
          <w:tcPr>
            <w:tcW w:w="3779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82487" w:rsidTr="00882487">
        <w:trPr>
          <w:trHeight w:val="200"/>
        </w:trPr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Mar 16 - 20</w:t>
            </w:r>
          </w:p>
        </w:tc>
        <w:tc>
          <w:tcPr>
            <w:tcW w:w="5250" w:type="dxa"/>
            <w:vMerge w:val="restart"/>
          </w:tcPr>
          <w:p w:rsidR="00882487" w:rsidRDefault="00882487" w:rsidP="0088248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 responsible for all aspects of the planning/teaching/assessment process for at least 75% of responsible teaching time for at least 3 consecutive weeks</w:t>
            </w:r>
          </w:p>
        </w:tc>
        <w:tc>
          <w:tcPr>
            <w:tcW w:w="2130" w:type="dxa"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779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Mid-placement Evaluation completed by Intern and Mentor Teacher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March 20</w:t>
            </w:r>
          </w:p>
        </w:tc>
      </w:tr>
      <w:tr w:rsidR="00882487" w:rsidTr="00882487"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82487" w:rsidRDefault="00882487" w:rsidP="0028612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Mar </w:t>
            </w:r>
            <w:r w:rsidR="0028612B">
              <w:rPr>
                <w:rFonts w:ascii="Garamond" w:eastAsia="Garamond" w:hAnsi="Garamond" w:cs="Garamond"/>
                <w:sz w:val="24"/>
                <w:szCs w:val="24"/>
              </w:rPr>
              <w:t xml:space="preserve">23 – 27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#4 by the</w:t>
            </w:r>
            <w:r w:rsidR="00851758">
              <w:rPr>
                <w:rFonts w:ascii="Garamond" w:eastAsia="Garamond" w:hAnsi="Garamond" w:cs="Garamond"/>
                <w:sz w:val="24"/>
                <w:szCs w:val="24"/>
              </w:rPr>
              <w:t xml:space="preserve"> end of week 6 </w:t>
            </w:r>
          </w:p>
        </w:tc>
        <w:tc>
          <w:tcPr>
            <w:tcW w:w="3779" w:type="dxa"/>
          </w:tcPr>
          <w:p w:rsidR="00882487" w:rsidRPr="00882487" w:rsidRDefault="00882487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Mid-placement Conference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March 27</w:t>
            </w:r>
          </w:p>
        </w:tc>
      </w:tr>
      <w:tr w:rsidR="00882487" w:rsidTr="00882487"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5 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Mar 30 – Apr 3</w:t>
            </w:r>
          </w:p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82487" w:rsidTr="00882487">
        <w:tc>
          <w:tcPr>
            <w:tcW w:w="805" w:type="dxa"/>
          </w:tcPr>
          <w:p w:rsidR="00882487" w:rsidRDefault="00882487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0" w:type="dxa"/>
          </w:tcPr>
          <w:p w:rsidR="00882487" w:rsidRDefault="0028612B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Apr 6 - 10</w:t>
            </w:r>
            <w:r w:rsidR="0088248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82487" w:rsidRDefault="00882487" w:rsidP="0088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</w:tcPr>
          <w:p w:rsidR="00882487" w:rsidRDefault="00882487" w:rsidP="0088248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First Submission of Impact Study due by </w:t>
            </w:r>
            <w:r w:rsidR="0028612B">
              <w:rPr>
                <w:rFonts w:ascii="Garamond" w:eastAsia="Garamond" w:hAnsi="Garamond" w:cs="Garamond"/>
                <w:b/>
                <w:sz w:val="24"/>
                <w:szCs w:val="24"/>
              </w:rPr>
              <w:t>April 10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851758" w:rsidTr="00882487">
        <w:tc>
          <w:tcPr>
            <w:tcW w:w="805" w:type="dxa"/>
          </w:tcPr>
          <w:p w:rsidR="00851758" w:rsidRDefault="00851758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51758" w:rsidRDefault="00851758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Apr 13 – 17 </w:t>
            </w:r>
          </w:p>
        </w:tc>
        <w:tc>
          <w:tcPr>
            <w:tcW w:w="5250" w:type="dxa"/>
            <w:vMerge w:val="restart"/>
          </w:tcPr>
          <w:p w:rsidR="00851758" w:rsidRDefault="00851758" w:rsidP="00DC7AE9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Begin returning responsibilities to the mentor teacher while continuing to assist and work with students.</w:t>
            </w:r>
          </w:p>
        </w:tc>
        <w:tc>
          <w:tcPr>
            <w:tcW w:w="2130" w:type="dxa"/>
          </w:tcPr>
          <w:p w:rsidR="00851758" w:rsidRDefault="00851758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779" w:type="dxa"/>
          </w:tcPr>
          <w:p w:rsidR="00851758" w:rsidRDefault="00851758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51758" w:rsidTr="00882487">
        <w:tc>
          <w:tcPr>
            <w:tcW w:w="805" w:type="dxa"/>
          </w:tcPr>
          <w:p w:rsidR="00851758" w:rsidRDefault="00851758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851758" w:rsidRDefault="00851758" w:rsidP="0088248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Apr 20 – 24 </w:t>
            </w:r>
          </w:p>
        </w:tc>
        <w:tc>
          <w:tcPr>
            <w:tcW w:w="5250" w:type="dxa"/>
            <w:vMerge/>
          </w:tcPr>
          <w:p w:rsidR="00851758" w:rsidRDefault="00851758" w:rsidP="008824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</w:tcPr>
          <w:p w:rsidR="00851758" w:rsidRDefault="00851758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Transition</w:t>
            </w:r>
          </w:p>
          <w:p w:rsidR="00851758" w:rsidRDefault="00851758" w:rsidP="00882487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Final Assessment</w:t>
            </w:r>
          </w:p>
        </w:tc>
        <w:tc>
          <w:tcPr>
            <w:tcW w:w="3779" w:type="dxa"/>
          </w:tcPr>
          <w:p w:rsidR="00851758" w:rsidRDefault="00851758" w:rsidP="00882487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Final Evaluation and meeting completed by Intern, MT, and US before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April 24</w:t>
            </w:r>
          </w:p>
        </w:tc>
      </w:tr>
    </w:tbl>
    <w:p w:rsidR="002F7BE5" w:rsidRDefault="002056E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Notes – </w:t>
      </w:r>
    </w:p>
    <w:p w:rsidR="00A47BA7" w:rsidRDefault="002056EA" w:rsidP="002F7BE5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2F7BE5">
        <w:rPr>
          <w:rFonts w:ascii="Garamond" w:eastAsia="Garamond" w:hAnsi="Garamond" w:cs="Garamond"/>
          <w:sz w:val="24"/>
          <w:szCs w:val="24"/>
        </w:rPr>
        <w:t>The Impact Study will be completed during one of the placements.</w:t>
      </w:r>
      <w:r w:rsidR="00882487">
        <w:rPr>
          <w:rFonts w:ascii="Garamond" w:eastAsia="Garamond" w:hAnsi="Garamond" w:cs="Garamond"/>
          <w:sz w:val="24"/>
          <w:szCs w:val="24"/>
        </w:rPr>
        <w:t xml:space="preserve">  </w:t>
      </w:r>
      <w:r w:rsidR="00882487">
        <w:rPr>
          <w:rFonts w:ascii="Garamond" w:eastAsia="Garamond" w:hAnsi="Garamond" w:cs="Garamond"/>
          <w:b/>
          <w:sz w:val="24"/>
          <w:szCs w:val="24"/>
        </w:rPr>
        <w:t>The final submission</w:t>
      </w:r>
      <w:r w:rsidR="00851758">
        <w:rPr>
          <w:rFonts w:ascii="Garamond" w:eastAsia="Garamond" w:hAnsi="Garamond" w:cs="Garamond"/>
          <w:b/>
          <w:sz w:val="24"/>
          <w:szCs w:val="24"/>
        </w:rPr>
        <w:t xml:space="preserve"> deadline is by Monday, April 27</w:t>
      </w:r>
      <w:r w:rsidR="00882487">
        <w:rPr>
          <w:rFonts w:ascii="Garamond" w:eastAsia="Garamond" w:hAnsi="Garamond" w:cs="Garamond"/>
          <w:b/>
          <w:sz w:val="24"/>
          <w:szCs w:val="24"/>
        </w:rPr>
        <w:t>.</w:t>
      </w:r>
    </w:p>
    <w:p w:rsidR="002F7BE5" w:rsidRDefault="002F7BE5" w:rsidP="002F7BE5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observation schedule is a guideline. Observation dates per this schedule may need to be adjusted per school closings related to weather and/or based on student intern needs for observations.</w:t>
      </w:r>
    </w:p>
    <w:p w:rsidR="00EC186F" w:rsidRPr="00EC186F" w:rsidRDefault="002F7BE5" w:rsidP="00EC186F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One of the first 2 observations should be video recorded.  Schedule this with your US.  Watch the video and complete a self-assessment PRIOR to reviewing the video with your US.  This should be completed by week 6.</w:t>
      </w:r>
    </w:p>
    <w:p w:rsidR="00EC186F" w:rsidRDefault="00EC186F" w:rsidP="00EC186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Spring Breaks:</w:t>
      </w:r>
    </w:p>
    <w:p w:rsidR="00EC186F" w:rsidRDefault="00EC186F" w:rsidP="00EC186F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Spotsylvania County, Fredericksburg City</w:t>
      </w:r>
      <w:r w:rsidR="00851758">
        <w:rPr>
          <w:rFonts w:ascii="Garamond" w:eastAsia="Garamond" w:hAnsi="Garamond" w:cs="Garamond"/>
          <w:sz w:val="24"/>
          <w:szCs w:val="24"/>
        </w:rPr>
        <w:t xml:space="preserve">, Stafford County : March 16 – 20 </w:t>
      </w:r>
    </w:p>
    <w:p w:rsidR="00EC186F" w:rsidRDefault="00851758" w:rsidP="00EC186F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Richmond City,</w:t>
      </w:r>
      <w:r w:rsidR="00EC186F">
        <w:rPr>
          <w:rFonts w:ascii="Garamond" w:eastAsia="Garamond" w:hAnsi="Garamond" w:cs="Garamond"/>
          <w:sz w:val="24"/>
          <w:szCs w:val="24"/>
        </w:rPr>
        <w:t xml:space="preserve"> Prince William County: </w:t>
      </w:r>
      <w:r>
        <w:rPr>
          <w:rFonts w:ascii="Garamond" w:eastAsia="Garamond" w:hAnsi="Garamond" w:cs="Garamond"/>
          <w:sz w:val="24"/>
          <w:szCs w:val="24"/>
        </w:rPr>
        <w:t xml:space="preserve">April 6 – 10 </w:t>
      </w:r>
    </w:p>
    <w:p w:rsidR="00A47BA7" w:rsidRDefault="00851758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January 31, 2020</w:t>
      </w:r>
      <w:r w:rsidR="002056EA">
        <w:rPr>
          <w:rFonts w:ascii="Garamond" w:eastAsia="Garamond" w:hAnsi="Garamond" w:cs="Garamond"/>
          <w:b/>
          <w:sz w:val="24"/>
          <w:szCs w:val="24"/>
        </w:rPr>
        <w:t xml:space="preserve"> - All Interns report to Stafford Campus for a MANDATORY Professional Development Day</w:t>
      </w:r>
    </w:p>
    <w:p w:rsidR="00A47BA7" w:rsidRDefault="002056EA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Reminders:</w:t>
      </w:r>
    </w:p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A47BA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2056EA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If you are ill and cannot attend school, </w:t>
            </w: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you must call your MT first and then contact your US prior to the beginning of the school day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.  You must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make arrangements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to get your lesson plans to school if you cannot be there.</w:t>
            </w:r>
            <w:r w:rsidR="00851758">
              <w:rPr>
                <w:rFonts w:ascii="Garamond" w:eastAsia="Garamond" w:hAnsi="Garamond" w:cs="Garamond"/>
                <w:sz w:val="24"/>
                <w:szCs w:val="24"/>
              </w:rPr>
              <w:t xml:space="preserve"> You must report your absence to the Director of Clinical Experiences using the Absence Report Form on the COE website.</w:t>
            </w:r>
            <w:bookmarkStart w:id="1" w:name="_GoBack"/>
            <w:bookmarkEnd w:id="1"/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EC186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 will complete three self-assessments during your full time student intern experience: a mid-placement self-evaluation, a final self-evaluation and a videotaped self-evaluation.  You be required to review these self-assessments with your MT and US.</w:t>
            </w:r>
          </w:p>
        </w:tc>
      </w:tr>
      <w:tr w:rsidR="00A47BA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2056EA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Write out complete lesson plans and </w:t>
            </w: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have them approved by the MT well in advance of the lesson.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2056EA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Maintain a weekly time sheet of your hours and activities in the school. This time will be submitted to the COE at the end of the semester.</w:t>
            </w:r>
          </w:p>
        </w:tc>
      </w:tr>
      <w:tr w:rsidR="00A47BA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2056EA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Submit 2 -3 goals each week to your US and MT. </w:t>
            </w: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Consult with your MT and US on your goals.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2056EA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Maintain a folder/binder for your MT and US.  This may be electronic or in hard copy at the discretion of your US. </w:t>
            </w:r>
          </w:p>
        </w:tc>
      </w:tr>
      <w:tr w:rsidR="00A47BA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2056EA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Any intern who misses more than one full day of clinical experience due to illness or other unforeseen emergencies must make up the time missed.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A7" w:rsidRDefault="00EC186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Attend all faculty meetings, back to school/conference nights, and professional development days. (with MT’s permission)</w:t>
            </w:r>
          </w:p>
        </w:tc>
      </w:tr>
    </w:tbl>
    <w:p w:rsidR="00A47BA7" w:rsidRDefault="00A47BA7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sectPr w:rsidR="00A47BA7" w:rsidSect="00F82642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15" w:rsidRDefault="00040E15">
      <w:pPr>
        <w:spacing w:after="0" w:line="240" w:lineRule="auto"/>
      </w:pPr>
      <w:r>
        <w:separator/>
      </w:r>
    </w:p>
  </w:endnote>
  <w:endnote w:type="continuationSeparator" w:id="0">
    <w:p w:rsidR="00040E15" w:rsidRDefault="0004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15" w:rsidRDefault="00040E15">
      <w:pPr>
        <w:spacing w:after="0" w:line="240" w:lineRule="auto"/>
      </w:pPr>
      <w:r>
        <w:separator/>
      </w:r>
    </w:p>
  </w:footnote>
  <w:footnote w:type="continuationSeparator" w:id="0">
    <w:p w:rsidR="00040E15" w:rsidRDefault="0004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A7" w:rsidRDefault="000C12B7">
    <w:pPr>
      <w:spacing w:line="264" w:lineRule="auto"/>
      <w:rPr>
        <w:b/>
        <w:color w:val="000000"/>
        <w:sz w:val="28"/>
        <w:szCs w:val="28"/>
      </w:rPr>
    </w:pPr>
    <w:r>
      <w:rPr>
        <w:rFonts w:ascii="Garamond" w:eastAsia="Garamond" w:hAnsi="Garamond" w:cs="Garamond"/>
        <w:b/>
        <w:color w:val="5B9BD5"/>
        <w:sz w:val="28"/>
        <w:szCs w:val="28"/>
      </w:rPr>
      <w:t>SPRING</w:t>
    </w:r>
    <w:r w:rsidR="0028612B">
      <w:rPr>
        <w:rFonts w:ascii="Garamond" w:eastAsia="Garamond" w:hAnsi="Garamond" w:cs="Garamond"/>
        <w:b/>
        <w:color w:val="5B9BD5"/>
        <w:sz w:val="28"/>
        <w:szCs w:val="28"/>
      </w:rPr>
      <w:t xml:space="preserve"> SEMESTER 2020</w:t>
    </w:r>
    <w:r w:rsidR="00B37B66">
      <w:rPr>
        <w:rFonts w:ascii="Garamond" w:eastAsia="Garamond" w:hAnsi="Garamond" w:cs="Garamond"/>
        <w:b/>
        <w:color w:val="5B9BD5"/>
        <w:sz w:val="28"/>
        <w:szCs w:val="28"/>
      </w:rPr>
      <w:t xml:space="preserve">: </w:t>
    </w:r>
    <w:r>
      <w:rPr>
        <w:rFonts w:ascii="Garamond" w:eastAsia="Garamond" w:hAnsi="Garamond" w:cs="Garamond"/>
        <w:b/>
        <w:color w:val="5B9BD5"/>
        <w:sz w:val="28"/>
        <w:szCs w:val="28"/>
      </w:rPr>
      <w:t>S</w:t>
    </w:r>
    <w:r w:rsidR="00B37B66">
      <w:rPr>
        <w:rFonts w:ascii="Garamond" w:eastAsia="Garamond" w:hAnsi="Garamond" w:cs="Garamond"/>
        <w:b/>
        <w:color w:val="5B9BD5"/>
        <w:sz w:val="28"/>
        <w:szCs w:val="28"/>
      </w:rPr>
      <w:t>pecial Education (General and Adapted Curriculum)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25"/>
    <w:multiLevelType w:val="hybridMultilevel"/>
    <w:tmpl w:val="6A6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6F4"/>
    <w:multiLevelType w:val="hybridMultilevel"/>
    <w:tmpl w:val="D732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A7"/>
    <w:rsid w:val="00040E15"/>
    <w:rsid w:val="000C12B7"/>
    <w:rsid w:val="00106D1F"/>
    <w:rsid w:val="00184052"/>
    <w:rsid w:val="002056EA"/>
    <w:rsid w:val="00231472"/>
    <w:rsid w:val="0028612B"/>
    <w:rsid w:val="002F7BE5"/>
    <w:rsid w:val="003754A7"/>
    <w:rsid w:val="00407ABB"/>
    <w:rsid w:val="006A10ED"/>
    <w:rsid w:val="007E5742"/>
    <w:rsid w:val="00816072"/>
    <w:rsid w:val="00851758"/>
    <w:rsid w:val="00882487"/>
    <w:rsid w:val="00A47BA7"/>
    <w:rsid w:val="00B37B66"/>
    <w:rsid w:val="00EC186F"/>
    <w:rsid w:val="00F7508A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2F81"/>
  <w15:docId w15:val="{67A469F7-EC91-42A8-ADEB-F778281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B7"/>
  </w:style>
  <w:style w:type="paragraph" w:styleId="Footer">
    <w:name w:val="footer"/>
    <w:basedOn w:val="Normal"/>
    <w:link w:val="FooterChar"/>
    <w:uiPriority w:val="99"/>
    <w:unhideWhenUsed/>
    <w:rsid w:val="000C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B7"/>
  </w:style>
  <w:style w:type="paragraph" w:styleId="ListParagraph">
    <w:name w:val="List Paragraph"/>
    <w:basedOn w:val="Normal"/>
    <w:uiPriority w:val="34"/>
    <w:qFormat/>
    <w:rsid w:val="002F7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2728-20AF-4EE9-A81B-DD31CCC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Peck (kpeck)</dc:creator>
  <cp:lastModifiedBy>Kristina Peck (kpeck)</cp:lastModifiedBy>
  <cp:revision>7</cp:revision>
  <cp:lastPrinted>2018-10-30T12:38:00Z</cp:lastPrinted>
  <dcterms:created xsi:type="dcterms:W3CDTF">2018-10-26T19:03:00Z</dcterms:created>
  <dcterms:modified xsi:type="dcterms:W3CDTF">2019-10-15T18:56:00Z</dcterms:modified>
</cp:coreProperties>
</file>